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проанализировав условия заключенного сторонами договора, руководствуясь положениями законодательства, регулирующего спорные правоотношения, суд апелляционной инстанции пришел к выводу о наличии оснований 2 для применения к ответчику меры ответственности в виде неустойки и, скорректировав расчет неустойки, частично удовлетворил иск, с чем впоследствии согласился суд округа.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окружной суд не усмотрел нарушений судом норм права, влекущих отмену обжалуемого постановления. Доводы кассационной жалобы не подтверждают существенных нарушений судами апелляционной и кассационной инстанций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«КомЭк»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