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 руководствовались положениями законодательства, регулирующего спорные правоотношения, и, исследовав и оценив представленные в материалы дела доказательства, 2 исходили из установленных обстоятельств выполнения подрядчиком работ на сумму, превышающую размер полученной от заказчика оплаты, передачи их результата заказчику и использования подрядчиком переданного заказчиком давальческого материала.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«Инжстрой-Инновации»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