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кассационной жалобе ставится вопрос о ее передаче для рассмотрения в судебном заседании Судебной коллегии по экономическим спорам Верховного Суда Российской Федерации.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Доводы заявителя не подтверждают существенных нарушений судами норм процессуального права, приведших к судебной ошибке существенного и непреодолимого характера при рассмотрении заявления ответчика о распределении судебных расходов, и в силу статьи 291.6 Арбитражного процессуального кодекса Российской Федерации не являются основанием 2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«Волгостальконструкция»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