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исходя из установленных фактических обстоятельств, принимая во внимание, что истец, не предприняв мер по привлечению ответчиков к обнаружению и актированию недостатков, самостоятельно устранил обнаруженные дефекты, 2 руководствуясь положениями действующего законодательства, суды не усмотрели оснований для возложения на ответчиков ответственности в виде возмещения спорных убытков.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товарищества собственников жилья «Дуэт Плюс»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