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10.10.2022, оставленным без изменения постановлением Четырнадцатого арбитражного апелляционного суда от 20.01.2023 и постановлением Арбитражного суда Северо-Западного округа от 17.04.2023, процедура реализации имущества должника завершена без освобождения его от исполнения обязательств. В кассационной жалобе Кудряшова Т.В. просит о пересмотре судебных актов вследствие несоответствия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В исследованных обстоятельствах образования спорной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погашения. Иная оценка должником установленных судами обстоятельств противоречит установленным обстоятельствам и не создает оснований для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Кудряшовой Татьяне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