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12.08.2022 требование кредитора в размере 3 917 250 рублей включено в третью очередь реестра. Восемнадцатый арбитражный апелляционный суд постановлением от 31.01.2023 изменил определение от 12.08.2022, включив требование в размере 2 029 250 рублей в третью очередь реестра и признав требование в размере 1 888 000 рублей подлежащим удовлетворению за счет имущества должника, оставшегося после удовлетворения требований кредиторов, включенных в реестр. Арбитражный суд Уральского округа постановлением от 03.05.2023 оставил без изменения постановление апелляционного суда от 31.01.2023. В кассационной жалобе Унанян А.Г. просит об отмене судебных актов, ссылаясь на непопадание требования под неосновательное обогащение и истечение срока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доводы были предметом рассмотрения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Унаняну Арсену Гамлетовичу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