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12.12.2022, оставленным без изменения постановлением Десятого арбитражного апелляционного суда от 06.02.2023 и постановлением Арбитражного суда Московского округа от 02.05.2023, процедура реализации имущества должника завершена, должник освобожден от дальнейшего исполнения требований кредиторов за исключением требования Скорик Натальи Михайловны. В кассационной жалобе Федотова М.А. просит об отмене судебных актов, ссылаясь на преждевременное завершение процедуры.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представленные финансовым управляющим отчет, документы в подтверждение завершения всех мероприятий по проведению процедуры реализации имущества должника и установили условия для завершения процедуры и применения правил статьи 213.28 Федерального закона от 26.10.2002 № 127-ФЗ «О несостоятельности (банкротстве)». Приведенные в жалобе доводы исследованы,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Федотовой Марине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