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2 правоотношения, установив отсутствие оснований для взыскания с ответчика неустойки в период действия моратория, суд апелляционной инстанции отказал в удовлетворении иска в указанной части, с чем впоследствии согласился суд округа. Доводы кассационной жалобы не подтверждают существенных нарушений судами апелляционной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«Ордена трудового красного знамени научно-исследовательский институт автоматической аппаратуры им. Академика В.С. Семинихина»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