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исковые требования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исходили из наличия на стороне ответчика неисполненной обязанности по оплате оказанных истцом в спорный период услуг по обращению с твердыми коммунальными отходами.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«Автоколонна 1472-Дятьково»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