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установив факт оказания истцом услуг по транспортированию твердых коммунальных отходов и неисполнения ответчиком обязательств по их оплате, 2 указав на наличие в действиях последнего признаков недобросовестного поведения, проверив и признав верным представленный истцом расчет, руководствуясь положениями законодательства, регулирующего спорные правоотношения, суды удовлетворили исковые требования.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«ЭКО-Комплекс»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