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гражданского законодательства и законодательства, регулирующего обращение с твердыми коммунальными отходами и порядок их коммерческого учета объема и (или) массы, установив факт оказания истцом в спорный период услуг по обращению с ТКО 2 на условиях типового договора и их неоплаты ответчиком, проверив и признав ошибочным представленный истцом расчет, произведя его перерасчет, суд апелляционной инстанции пришел к выводу о наличии оснований для частичного удовлетворения иска, с чем впоследствии согласился суд округа.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Садыкова Айрата Аксяновича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