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заявления о разъяснении судебного акта, суды исходили из того, что судебный акт не содержит неясностей и неточностей, допускающих неоднозначное толкование и требующих 2 разъяснения в порядке статьи 179 Арбитражного процессуального кодекса Российской Федерации. Изложенные в кассационной жалобе доводы не подтверждают существенных нарушений судами норм права и не являются достаточным основанием для пересмотра судебных актов в кассационной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Гельдт Екатерины Владимировны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