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28.11.2022, оставленным без изменения постановлением Десятого арбитражного апелляционного суда от 01.02.2023 и постановлением Арбитражного суда Московского округа от 04.05.2023, в удовлетворении заявления отказано. В кассационной жалобе Сотников С.Г. просит об отмене судебных актов, ссылаясь на неуказание положенных в их основу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признали заявленное требование не отвечающим критериям статей 71, 100 Федерального закона от 26.10.2002 № 127-ФЗ «О несостоятельности (банкротстве)» и предъявленным за пределами срока исковой давности для включения в реестр должника. Вопросы доказывания и оценки доказательств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Сотникову Сергею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