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09.12.2022, оставленным без изменения постановлением Семнадцатого арбитражного апелляционного суда от 11.02.2023 и постановлением Арбитражного суда Уральского округа от 11.05.2023, в удовлетворении заявления отказано. В кассационной жалобе Матафонова А.В. просит об отмене судебных актов, ссылаясь на игнорирование недобросовестности должника в вопросе прекращения руководимого им юридического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условий для субсидиарной ответственности должника в отношении заявленного требования.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Матафоновой Александре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