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Мазурова Д.П. определением Арбитражного суда города Москвы от 21.05.2021 признаны недействительными сделками перечисление должником Мазуровой Д.Ю. денежных средств в размере 53 494 095 рублей в качестве безвозмездной материальной помощи и применены последствия недействительности сделки в виде взыскания с Мазуровой Д.Ю. в конкурсную массу должника указанной суммы. Должник обратился в Арбитражный суд города Москвы с заявлением о пересмотре определения суда первой инстанции по вновь открывшимся обстоятельствам. Определением Арбитражного суда города Москвы от 02.12.2022, оставленным без изменения постановлением Девятого арбитражного апелляционного суда от 27.02.2023 и постановлением Арбитражного суда Московского округа от 10.05.2023, в удовлетворении заявления отказано. 2 Мазуров Д.П. обратился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приведенные в обоснование заявления о пересмотре судебного акта по вновь открывшимся обстоятельствам доводы, руководствуясь положениями статей 309, 310, 311 Арбитражного процессуального кодекса Российской Федерации, суды пришли к выводу о том, что указанные заявителем обстоятельства не являются вновь открывшимися и не могут служить основанием для пересмотра судебного акта по правилам главы 37 Арбитражного процессуального кодекса Российской Федерации.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