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Мазурова Д.П. определением Арбитражного суда города Москвы от 14.03.2022 признаны недействительными договоры беспроцентного займа, заключенные между должником и Лисовиченко Г.А., и применены последствия недействительности сделок в виде взыскания с Лисовиченко Г.А. в конкурсную массу должника 64 684 900 рублей. Должник обратился в Арбитражный суд города Москвы с заявлением о пересмотре определения суда первой инстанции по вновь открывшимся обстоятельствам. Определением Арбитражного суда города Москвы от 02.12.2022, оставленным без изменения постановлением Девятого арбитражного апелляционного суда от 01.03.2023 и постановлением Арбитражного суда Московского округа от 15.05.2023, в удовлетворении заявления отказано. 2 Мазуров Д.П.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суды пришли к выводу о том, что указанные заявителем обстоятельства не являются вновь открывшимися и не могут служить основанием для пересмотра судебного акта по правилам главы 37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