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28.10.2022 заявление удовлетворено. Второй арбитражный апелляционный суд постановлением от 03.03.2023, оставленным без изменения постановлением Арбитражного суда Волго-Вятского округа от 19.06.2023, отменил определение от 28.10.2022 и в удовлетворении заявления отказал. В кассационной жалобе Белков Е.В. просит об отмене судебных актов апелляционного и окружного судов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Заявленные финансовым управляющим обстоятельства возникли после распределения денежных средств, поэтому не попадают под разногласия, разрешаемые в порядке статей 60, 213.27 Федерального закона «О несостоятельности (банкротстве)». Кассационная жалоба не содержит доводов в опровержение выводов судов.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Белкову Е.В.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