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21.11.2022, оставленным без изменения постановлением Восемнадцатого арбитражного апелляционного суда от 30.01.2023 и постановлением Арбитражного суда Уральского округа от 02.05.2023, в удовлетворении жалобы отказано. В кассационной жалобе Воронина Ф.Р.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оснований и перспективы для оспаривания финансовым управляющим сделки, поэтому отказали в удовлетворении жалобы в соответствии со статьями 20.3, 213.9 Федерального закона от 26.10.2002 № 127-ФЗ «О несостоятельности (банкротстве)». Иная оценка заявителем действий финансового управляющего является субъективной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Ворониной Фрузе Равилевне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