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Золин Андрей Валерьевич (далее – Предприниматель) обратился в Арбитражный суд Ярославской области с исковым заявлением к акционерному обществу «Управляющая организация многоквартирными домами Дзержинского района» (далее – Общество) о взыскании 60500 рублей ущерба, 1001 рубля 15 копеек процентов за пользование чужими денежными средствами за период с 20.04.2022 по 30.05.2022 с дальнейшим начислением по день фактического исполнения обязательства. Дело рассмотрено в порядке упрощенного производства в соответствии со статьей 228 Арбитражного процессуального кодекса Российской Федерации (далее – АПК РФ).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«Ремонтно-эксплуатационный участок № 16» (далее – Компания). Решением Арбитражного суда Ярославской области от 20.08.2022, оставленным без изменения постановлением Второго арбитражного апелляционного суда от 28.10.2022 требования удовлетворены частично, с Общества в пользу Предпринимателя взыскано 60500 рублей в возмещение ущерба и проценты за пользование чужими денежными средствами, начисленные на сумму долга, с даты вступления решения в законную силу по дату 2 фактического исполнения обязательства. В удовлетворении остальной части иска отказано. Постановлением Арбитражного суда Волго-Вятского округа от 03.07.2023 решение Арбитражного суда Ярославской области от 20.08.2022 и постановление Второго арбитражного апелляционного суда от 28.10.2022 отменены, дело направлено на новое рассмотрение в Арбитражный суд Ярославской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в нарушение статей 286, 287 АПК РФ суд округа вышел за пределы полномочий и предрешил исход дела; кассационная инстанция неправомерно указала на необходимость установления обстоятельств, которые уже были установлены; вывод о том, что спорная конструкция является рекламной, неправомерен.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осуществляет управление многоквартирным домом, расположенным по адресу: г. Ярославль, Ленинградский пр-т, д. 38. Между Обществом (управляющая организация) и Предпринимателем (пользователь) в целях урегулирования порядка внесения платы за жилищные услуги, оказываемые пользователю, подписано соглашение (контракт) от 23.11.2017 № 16-0026. В результате выполнения обслуживающей организацией – Компанией 11.02.2022 работ по очистке кровли повреждено имущество Предпринимателя - разрушена вывеска «Авто; Масла; Химия», расположенная на козырьке магазина по адресу: г. Ярославль, Ленинградский пр-т, д. 38. Данное обстоятельство подтверждается актом обследования от 15.02.2022. Предприниматель, ссылаясь на то, что в результате повреждения вывески ему причинен ущерб, направил в адрес Общества соответствующую претензию от 19.04.2022 № 2. Оставление Обществом претензии без удовлетворения послужило основанием для обращения Предпринимателя в арбитражный суд с настоящим иском. Частично удовлетворяя требования, суды первой и апелляционной инстанций руководствовались статьей 15 Гражданского кодекса Российской 3 Федерации, разъяснениями, изложенными в пункте 12 постановления Пленума Верховного Суда Российской Федерации от 23.06.2015№25 «О применении судами некоторых положений раздела 1 части первой Гражданского кодекса Российской Федерации», положениями Федерального закона от 13.03.2006№38-ФЗ «О рекламе», и пришли к выводам о том, что спорная вывеска не является рекламной конструкцией, расположена непосредственно в месте оказания услуг, не преследует целей, связанных с рекламой и не зависит от наличия согласия собственника. При этом суды отметили, что размещенная на козырьке магазина вывеска «Авто; химия; масла» относится к вывескам, не содержащим сведения рекламного характера, на которые бы распространялись положения Федерального закона от 13.03.2006 № 38-ФЗ «О рекламе» (далее – Закон № 38-ФЗ) в части необходимости получения разрешения собственников на размещение данной конструкции. Суд округа, руководствуясь статьями 246,290 Гражданского кодекса Российской Федерации, статьями 36, 44 Жилищного кодекса Российской Федерации, положениями Закона № 38-ФЗ и Закона Российской Федерации от 07.02.1992 № 2300-1 «О защите прав потребителей», разъяснениями, изложенными в пункте 7 постановления Пленума Высшего Арбитражного Суда Российской Федерации от 23.07.2009 №64 «О некоторых вопросах практики рассмотрения споров о правах собственников помещений на общее имущество здания»,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вывод судов о том, что спорная конструкция является вывеской, на которую не распространяется Закон о рекламе, является преждевременным. Положения действующего законодательства относят к компетенции общего собрания собственников помещений многоквартирного дома не только заключение договоров на установку и эксплуатацию рекламных конструкций, но и иные вопросы, касающихся использования общего имущества, в связи с чем необходимо установить, проводилось ли общее собрание собственников по вопросу распоряжения имуществом, находящимся в долевой собственности. Получение соответствующего разрешения на размещение спорной конструкции не отменяет необходимости совершения лицом действий по получению разрешения общего собрания собственников на использование общего имущества.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Золина Андрея Валерьевича для рассмотрения в судебном 4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