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Некрасов Сергей Трофимович (далее – Предприниматель) обратился в Арбитражный суд города Москвы с исковым заявлением к ВТБ Лизинг (акционерное общество) (далее – Общество) о взыскании 1 176 841 рубля агентского вознаграждения. Решением Арбитражного суда города Москвы от 15.11.2022, оставленным без изменения постановлением Девятого арбитражного апелляционного суда от 07.02.2023 и постановлением Арбитражного суда Московского округа от 01.06.2023, требования удовлетворены частично, с Общества в пользу Предпринимателя взыскано 588 416 рублей 67 копеек агентского вознаграждения и 14768 рублей расходов по уплате государственной пошлины; в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требований,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Общество возражений по акту-отчету агента не заявляло.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16.02.2022 между Обществом (принципал) и Предпринимателем (агент) заключен агентский договор № АД 202698/02-22, согласно которому агент от своего имени по поручению принципала и в его интересах совершает действия по привлечению клиентов в целях последующего заключения договоров лизинга, за что принципал выплачивает агенту вознаграждение. В соответствии с пунктом 2.2 договора поручение считается выполненным агентом при соблюдении указанных ниже условий: клиент, направленный агентом, заключил с принципалом договор лизинга; во исполнение соответствующего договора лизинга заключен договор купли-продажи; на расчетный счет принципала от клиента поступил аванс и комиссия по договорам лизинга, если данные платежи предусмотрены договорами лизинга, заключенными между принципалом и клиентами при содействии агента в соответствии с договором; имущество передано во временное владение и пользование клиенту в соответствии с заключенными договорами лизинга; на дату обращения клиента к агенту отсутствуют заключенные (действующие) или прекратившие свое действие договоры лизинга между принципалом и клиентом. Предприниматель указал, что выполнил все условия договора, однако Общество не оплатило оказанные услуги. Исследовав и оценив по правилам статьи 71 АПК РФ представленные доказательства, руководствуясь статьями 309, 310, 1005, 1008 Гражданского кодекса Российской Федерации, суды отказали в удовлетворении требований в оспариваемой части, установив, что Общество в рамках прошедших между сторонами переговоров заявило возражения по акту-отчету на состоявшейся 07.04.2022 встрече, принимая во внимание действия Предпринимателя, идущие вразрез с условиями договора и интересами принципала (Предприниматель в марте 2022 года, то есть до передачи предметов лизинга, настаивал на расторжении договоров лизинга и возврате авансовых платежей).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Некрасова Сергея Трофимовича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