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Алтай от 06.10.2022, оставленным без изменения постановлением Седьмого арбитражного апелляционного суда от 28.12.2022 и постановлением Арбитражного суда Западно-Сибирского округа от 01.06.2023, в удовлетворении заявления отказано. В кассационной жалобе Губайдуллина Н.А. просит об отмене судебных актов, ссылаясь на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Наличие процессуальных нарушений, в частности влияющих на судьбу принятых судебных актов и создающих указанные основания для их пересмотра,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Губайдуллиной Надежде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