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26.12.2022 заявление удовлетворено в части включения задолженности в третью очередь реестра. Девятый арбитражный апелляционный суд постановлением от 22.03.2023 отменил определение от 26.12.2022 в части, включив требование в реестр как обеспеченное залогом имущества должника. Арбитражный суд Московского округа постановлением от 06.06.2023 оставил без изменения постановление апелляционного суда от 22.03.2023. В кассационной жалобе Касумов Э.Ф.-о. просит об отмене судебных актов апелляционного и окружного судов, ссылаясь на неосновательное отождествление регистрации транспортного средства с фактическим владением 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залоговый статус требования основан на договоре и не прекращен, поэтому требование в соответствии со статьями 334, 348 Гражданского кодекса Российской Федерации и статьей 213.27 Федерального закона от 26.10.2002 № 127-ФЗ «О несостоятельности (банкротстве)». Иное толкование норм права заявителем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Касумову Эльмиру Фарман-оглы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