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от 11.12.2022 требования включены в третью очередь реестра с разъяснением, что их удовлетворение за счет имущества должника осуществляется после полного удовлетворения оставшейся части требований первоначального кредитора. Семнадцатый арбитражный апелляционный суд постановлением от 13.02.2023 отменил определение от 11.12.2022 в части, исключив из резолютивной части абзац об удовлетворении требований кредитора после полного удовлетворения требований первоначального кредитора. Арбитражный суд Уральского округа постановлением от 12.05.2023 отменил постановление апелляционного суда от 13.02.2023, оставив в силе определение от 11.12.2022. В кассационной жалобе государственная корпорация развития «ВЭБ.РФ» просит об отмене определения и постановления окружного суда, ссылаясь на отсутствие условий для понижения очередности по отношению к первоначальному кредитору.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пункта 4 статьи 364 и пункта 1 статьи 365 Гражданского кодекса Российской Федерации, пункта 19 постановления Пленума Верховного Суда Российской Федерации от 24.12.2020 № 45 «О некоторых вопросах разрешения споров о поручительстве», основной кредитор имеет приоритет перед поручителем, исполнившим часть обязательств должника перед основным кредитором, в отношении очередности удовлетворения своих требований за счет имущества должника. Иное толкование норм материального права заявителем не составляет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корпорации развития «ВЭБ.РФ»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