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Акопяна Г.Г. в Арбитражный суд города Москвы обратилась ФИО2 (бывшая супруга должника) с заявлением об исключении квартиры из конкурсной массы должника. Определением Арбитражного суда города Москвы от 23.11.2022 заявление удовлетворено. Постановлением Девятого арбитражного апелляционного суда от 31.01.2023 определение суда первой инстанции отменено, в удовлетворении заявления отказано. Арбитражный суд Московского округа постановлением от 20.06.2023 постановление апелляционного суда оставил без изменения. ФИО1 и ФИО2 обратились в Судебную коллегию Верховного Суда Российской Федерации с кассационными жалобами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положениями статьи 446 Гражданского процессуального кодекса Российской Федерации, статей 50 , 78 Федерального закона от 16.07.1998 № 102-ФЗ «Об ипотеке (залоге недвижимости)», статьей 213.25 Федерального закона от 26.10.2002 № 127-ФЗ «О несостоятельности (банкротстве)» и исходили из того, что спорная квартира является предметом ипотеки, вступившим в законную силу решением суда общей юрисдикции обращено взыскание на предмет залога - квартиру, требование кредитора ФИО3 включено в реестр требований кредиторов должника как обеспеченное залогом.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"СУРГУТНЕФТЕГАЗБАНК" (подробнее) ООО "ДМИТРОВМОНТАЖГРУПП" (подробнее) ООО "КВАЗАР ЛИЗИНГ" (подробнее) ООО "Элемент Лизинг" (подробнее) ПАО "Уральский банк реконструкции и развития" (подробнее) ф/у Манякин С.Ю. (подробнее) Иные лица: Doosan Industrial Vehicle (подробнее) ААУ "Гарантия" (подробнее) ООО "Регион Групп Лизинг" (подробнее) ф/у Максимова А.А.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