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руководствуясь положениями действующего законодательства, 2 регулирующего спорные правоотношения, исходили из недоказанности наличия на стороне ответчика неосновательного обогащения за счет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акционерного общества «ЭКО-Комплекс»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