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Удовлетворяя исковые требования и подтверждая правильность этого вывода, суды, исследовав и оценив представленные в материалы дела доказательства, руководствуясь положениями гражданского законодательства, 2 регулирующего спорные правоотношения, исходили из доказанности истцом совокупности условий, необходимых для привлечения ответчика к ответственности в виде взыскания убытков.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«Меркурий-Логистика»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