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2 правоотношения, исходя из доказанности факта ненадлежащего исполнения ответчиком обязательств по оплате оказанных истцом услуг, пришли к выводу о наличии оснований для взыскания с ответчика испрашиваемой задолженности и неустойки, начисленной на сумму долга с учетом введенного государственными органами моратория.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садоводческого некоммерческого товарищества «Ладога» Московского района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