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 и дополнении к ней ставится вопрос о ее передаче для рассмотрения в судебном заседании Судебной коллегии по экономическим спорам Верховного Суда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Отказывая в удовлетворении ходатайства о восстановлении пропущенного срока подачи кассационной жалобы и возвращая жалобу, суд округа, руководствуясь положениями статей 9, 117, 276, 281 Арбитражного процессуального кодекса Российской Федерации, разъяснениями, 2 изложенными в постановлении Пленума Верховного Суда Российской Федерации от 30.06.2020 № 13 «О применении Арбитражного процессуального кодекса Российской Федерации при рассмотрении дел в арбитражном суде кассационной инстанции», исходил из того, что приведенные заявителем причины пропуска срока не являются уважительными. С указанными выводами согласился суд округа при рассмотрении жалобы заявителя, поданной в порядке статьи 291 Арбитражного процессуального кодекса Российской Федерации. Изложенные в кассационной жалобе доводы не подтверждают существенных нарушений судом округа норм права и не являются достаточным основанием для пересмотра обжалуемых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ассоциации «Саморегулируемая организация «Объединенные производители строительных работ»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