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заявители, ссылаясь на нарушение судами норм материального права, просят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законодательства, регулирующего спорные правоотношения, признав пропущенным срок исковой давности 2 по части требований, определив сальдо встречных обязательств, суды частично удовлетворили иск.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заявителей.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Ситникова Виталия Владимировича и общества с ограниченной ответственностью «Ойл-СтройКомплект»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