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проанализировав условия договора на выполнение субподрядных работ и дополнительных соглашений к нему, руководствуясь положениями законодательства, регулирующего спорные правоотношения, исходя 2 из установленных обстоятельств надлежащего выполнения истцом (субподрядчик) работ и передачи их результата ответчику (подрядчик), ввода объекта в эксплуатацию, суды пришли к выводу о наличии у подрядчика обязанности по возврату суммы обеспечительного платежа и необоснованности начисления им неустойки, удовлетворив первоначальный иск и отказав в удовлетворении встречных требований.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«Монолитное строительное управление - 1»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