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законодательства, исходя из доказанности наличия и размера задолженности ответчика по спорным договорам и отсутствия оснований для зачета требований, суд апелляционной 2 инстанции, с которым согласился суд округа, частично удовлетворил исковые требования (с учетом произведенного перерасчета неустойки и снижения ее размера по правилам статьи 333 Гражданского кодекса Российской Федерации).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апелляционной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«Монолитстрой»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