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несоответствие выводов судов фактическим обстоятельствам дела,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законодательства, регулирующего спорные 2 правоотношения, суды пришли к выводу о наличии оснований для удовлетворения первоначального иска и отказа в удовлетворении встречных требований, исходя из установленных обстоятельств выполнения истцом (подрядчик) работ на сумму, превышающую размер полученного от ответчика (заказчик) аванса, передачи их результата заказчику, отсутствия со стороны последнего мотивированных замечаний по выполненным работам, а также неисполнения им встречных обязательств. Приведенные в кассационной жалобе доводы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«Технический заказчик – Регион»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