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Возвращая встречный иск заявителю, суды руководствовались положениями действующего процессуального законодательства и исходили из того, что между встречным и первоначальным исками отсутствует взаимная связь, их совместное рассмотрение не будет способствовать более быстрому 2 и правильному разрешению спора, а приведет к затягиванию судебного процесса. Доводы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«ОМ Электро»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