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материального и процессуального права, просит пересмотреть указанный судебный акт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Отменяя определение суда первой инстанции и направляя дело на новое рассмотрение, суд округа, руководствуясь статями 138, 139, 141 Арбитражного процессуального кодекса Российской Федерации, разъяснениями, приведенными в постановлении Пленума Высшего Арбитражного Суда 2 Российской Федерации от 22.06.2012 № 35 «О некоторых процессуальных вопросах, связанных с рассмотрением дел о банкротстве», постановлении Пленума Высшего Арбитражного Суда Российской Федерации от 18.07.2014 № 50 «О примирении сторон в арбитражном процессе», указал на необходимость исследовать фактические обстоятельства спора для целей установления соответствия мирового соглашения требованиям закона и отсутствия нарушения прав и законных интересов других лиц. Доводы кассационной жалобы не подтверждают существенных нарушений судом округа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Демушкина Михаила Вениаминовича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