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восстановлении пропущенного процессуального срока и возвращая апелляционную жалобу заявителю, суд апелляционной инстанции руководствовался положениями действующего 2 процессуального законодательства и исходил из того, что предприниматель, извещенный надлежащим образом о судебном процессе, не привел объективных и уважительных причин пропуска срока на подачу жалобы. Суд округа поддержал выводы апелляционного суда. Доводы кассационной жалобы не подтверждают существенных нарушений судами апелляционной и кассационной инстанций норм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Гвозденко Татьяны Владимировны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