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апелляционной и кассационной инстанций норм материального права, просит пересмотреть указанные судебные акты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судебных актов по доводам кассационной жалобы, изученным по материалам истребованного дела, не установлено. Отменяя решение суда первой инстанции и удовлетворяя иск, суд апелляционной инстанции, с которым согласился суд округа, исследовав 2 и оценив представленные в материалы дела доказательства, руководствуясь положениями гражданского законодательства и законодательства, регулирующего обращение с твердыми коммунальными отходами (далее – ТКО) и порядок их коммерческого учета объема и (или) массы, исходил из подтвержденности факта оказания истцом ответчику в спорный период услуг по обращению с ТКО на условиях типового договора и их неоплаты последним. Приведенные в кассационной жалобе доводы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апелляционной и кассационной инстанций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гаражного кооператива № 8 «Доброволец»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