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Возвращая встречный иск заявителю, суды руководствовались положениями действующего процессуального законодательства и исходили из того, что требования, заявленные по первоначальному и встречному искам, различны по содержанию и основаниям возникновения, их совместное 2 рассмотрение не будет способствовать более быстрому и правильному разрешению спора, а приведет к затягиванию судебного процесса. Доводы кассационной жалобы не подтверждают существенных нарушений судами норм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«ОМ Фирма «МВЕН»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