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в кассационном порядке указанные судебные акты в части взыскания с него убытков.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Разрешая спор в обжалуемой части, суды, исследовав и оценив представленные в материалы дела доказательства, руководствуясь положениями законодательства, регулирующего спорные правоотношения, 2 исходили из доказанности совокупности условий, необходимых для привлечения ответчика к ответственности в виде взыскания убытков.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надлежащую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индивидуального предпринимателя Тюпиной Вероники Владимировны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