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исковых требований и подтверждая правильность этого вывода, суды, исследовав и оценив представленные в материалы дела доказательства, руководствуясь положениями 2 законодательства, регулирующего спорные правоотношения, пришли к выводу об отсутствии оснований для взыскания с ответчика (подрядчик) в пользу истца (заказчик) неосновательного обогащения, исходя из установленных обстоятельств выполнения ответчиком работ и передачи их результата истцу на сумму произведенной им оплаты.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«Квартал»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