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Исследовав и оценив представленные в материалы дела доказательства, проанализировав редакции спорных условий договора, руководствуясь 2 положениями гражданского законодательства и законодательства, регулирующего обращение с ТКО и порядок их коммерческого учета объема и (или) массы, исходя из установленных фактических обстоятельств, суды урегулировали возникшие разногласия в редакции, соответствующей действующим нормативным правовым актам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«Карамышевская д. 62»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