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пришли к выводу об отсутствии 2 оснований для взыскания с ответчика (исполнитель) в пользу истца (заказчик) неосновательного обогащения, исходя из установленных обстоятельств оказания ответчиком услуг по договору на сумму произведенного истцом авансирования.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«Охта 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