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в кассационном порядке указанные судебные акты в части отказа в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Разрешая спор в обжалуемой части, суды, исследовав и оценив представленные в материалы дела доказательства, руководствуясь положениями гражданского законодательства, исходя из недоказанности факта оказания истцом услуг, соответствующих предметам договоров, в период 2 после их расторжения, пришли к выводу об отсутствии у ответчика задолженности за спорный период.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«Метмаш»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