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исковых требований и подтверждая правильность этого вывода, суды, исследовав и оценив представленные в материалы дела доказательства, руководствуясь положениями 2 законодательства, регулирующего спорные правоотношения, пришли к выводу об отсутствии оснований для взыскания с ответчика (субподрядчик) в пользу истца (генподрядчик) неосновательного обогащения, исходя из установленных обстоятельств выполнения ответчиком работ на сумму полученного аванса и передачи их результата истцу до расторжения договора.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«Равелин»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