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Принимая обжалуемые судебные акты, суды руководствовались положениями статей 16, 183 Арбитражного процессуального кодекса Российской Федерации и исходили из наличия правовых оснований для индексации присужденных денежных сумм, определив ее размер 2 в соответствии с индексом потребительских цен на территории Российской Федерации.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права и не являются достаточным основанием для пересмотра обжалуемых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«Тиссен Шахтбау ГмбХ»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