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кассационной жалобе, поданной в Верховный Суд Российской Федерации, заявитель, ссылаясь на нарушение судами апелляционной и кассационной инстанций норм материального и процессуального права, просит пересмотреть указанные судебные акты в кассационном порядке.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Отказывая в удовлетворении иска, суд апелляционной инстанции, с которым согласился суд округа, исследовав и оценив представленные в материалы дела доказательства, руководствуясь положениями 2 законодательства, регулирующего спорные правоотношения, пришел к выводу об отсутствии оснований для взыскания испрашиваемой задолженности, исходя из установленных обстоятельств прекращения обязательства ответчика по оплате выполненных истцом работ зачетом встречных требований. Из содержания судебных актов следует, что суд апелляционной инстанции всесторонне исследовал доказательства по делу, установил необходимые для разрешения спора обстоятельства, а суд округа дал надлежащую правовую оценку доводам заявителя со ссылкой на положения норм действующего законодательства применительно к установленным фактическим обстоятельствам дела. Доводы кассационной жалобы не подтверждают существенных нарушений судами апелляционной и кассационной инстанций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«Научно-производственный центр Космос-СП»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