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жалобе, поданной в Верховный Суд Российской Федерации, заявитель, ссылаясь на нарушение судами норм права, просит пересмотреть указанные судебные акты в кассационном порядке.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Частично удовлетворяя заявление о взыскании судебных расходов и подтверждая правильность этого вывода, суды, исследовав и оценив представленные в материалы дела доказательства, руководствуясь положениями действующего процессуального законодательства, исходили 2 из доказанности несения ответчиком судебных расходов, их относимости к рассматриваемому делу, а также соответствия размера расходов в удовлетворенной части принципу разумности с учетом категории, степени сложности спора и объема оказанных представителем услуг.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права 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Иркутского публичного акционерного общества энергетики и электрификации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