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Возвращая кассационную жалобу, суд округа руководствовался статьями 9, 281 Арбитражного процессуального кодекса Российской Федерации и исходил из того, что заявитель в установленный судом срок не устранил обстоятельства, послужившие основанием для оставления жалобы без движения. 2 С указанными выводами согласился арбитражный суд округа при рассмотрении жалобы заявителя, поданной в порядке статьи 291 Арбитражного процессуального кодекса Российской Федерации. Изложенные в кассационной жалобе доводы были предметом рассмотрения суда и получили правовую оценку, не опровергают выводы суда и не подтверждают существенных нарушений судом норм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«СК Управление недвижимостью»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