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судом округа норм права, просит пересмотреть указанный судебный акт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Отменяя судебные акты судов первой и апелляционной инстанций и направляя дело на новое рассмотрение, суд округа, не принимая судебного акта по существу спора, исходил из того, что суды неполно исследовали фактические обстоятельства дела, не дали оценку всем представленным доказательствам и доводам истца. 2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«Институт продуктивного обучения»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