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в кассационном порядке указанные судебные акты в части взыскания с него убытков и судебных расходов.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Принимая судебные акты в обжалуемой части, суды, исследовав и оценив представленные в материалы дела доказательства с учетом заключения судебной экспертизы, признанного достоверным доказательством, руководствуясь положениями законодательства, регулирующего спорные правоотношения, исходили из доказанности совокупности условий, необходимых для взыскания с заявителя убытков, и наличия оснований для возложения на него обязанности по возмещению судебных расходов. Доводы кассационной жалобы не опровергают выводы судов, направлены на переоценку установленных судами обстоятельств дела,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Федерального казенного учреждения «Исправительная колония № 11 Главного управления Федеральной службы исполнения наказаний по Челябинской области»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