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общество,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обществу в принятии заявления о выдаче судебного приказа, суды руководствовались положениями действующего процессуального законодательства и исходили из того, что представленные заявителем 2 документы не позволяют сделать безусловный вывод о бесспорности заявленного требования. При этом суды отметили, что отказ в принятии заявления о выдаче судебного приказа не лишает взыскателя права на обращение в арбитражный суд в порядке искового производства. Доводы кассационной жалобы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«Горизонт»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